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FFD8" w14:textId="3624C5BD" w:rsidR="00FF155E" w:rsidRPr="00FF155E" w:rsidRDefault="00C62A45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                                                 </w:t>
      </w:r>
      <w:r w:rsidR="00FF155E"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14:paraId="0835806F" w14:textId="77777777" w:rsidR="00C62A45" w:rsidRDefault="00C62A45" w:rsidP="00C62A45">
      <w:pPr>
        <w:widowControl w:val="0"/>
        <w:suppressAutoHyphens/>
        <w:ind w:left="567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078CC8D7" w14:textId="77777777" w:rsidR="00C62A45" w:rsidRDefault="00C62A45" w:rsidP="00C62A45">
      <w:pPr>
        <w:widowControl w:val="0"/>
        <w:suppressAutoHyphens/>
        <w:ind w:left="5670"/>
        <w:jc w:val="right"/>
        <w:outlineLvl w:val="0"/>
        <w:rPr>
          <w:sz w:val="24"/>
          <w:szCs w:val="24"/>
        </w:rPr>
      </w:pPr>
      <w:r w:rsidRPr="0057399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</w:p>
    <w:p w14:paraId="1A04A178" w14:textId="77777777" w:rsidR="00C62A45" w:rsidRDefault="00C62A45" w:rsidP="00C62A45">
      <w:pPr>
        <w:widowControl w:val="0"/>
        <w:suppressAutoHyphens/>
        <w:ind w:left="5670"/>
        <w:jc w:val="right"/>
        <w:outlineLvl w:val="0"/>
        <w:rPr>
          <w:sz w:val="24"/>
          <w:szCs w:val="24"/>
        </w:rPr>
      </w:pPr>
      <w:r w:rsidRPr="000D077B">
        <w:rPr>
          <w:sz w:val="24"/>
          <w:szCs w:val="24"/>
        </w:rPr>
        <w:t>Территориальной избирательной</w:t>
      </w:r>
    </w:p>
    <w:p w14:paraId="5653C71A" w14:textId="77777777" w:rsidR="00C62A45" w:rsidRDefault="00C62A45" w:rsidP="00C62A45">
      <w:pPr>
        <w:widowControl w:val="0"/>
        <w:suppressAutoHyphens/>
        <w:ind w:left="5670"/>
        <w:jc w:val="right"/>
        <w:outlineLvl w:val="0"/>
        <w:rPr>
          <w:sz w:val="24"/>
          <w:szCs w:val="24"/>
        </w:rPr>
      </w:pPr>
      <w:r w:rsidRPr="000D077B">
        <w:rPr>
          <w:sz w:val="24"/>
          <w:szCs w:val="24"/>
        </w:rPr>
        <w:t xml:space="preserve"> комиссии </w:t>
      </w:r>
      <w:r>
        <w:rPr>
          <w:sz w:val="24"/>
          <w:szCs w:val="24"/>
        </w:rPr>
        <w:t>Морозовского</w:t>
      </w:r>
      <w:r w:rsidRPr="00E624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 </w:t>
      </w:r>
    </w:p>
    <w:p w14:paraId="3F01A185" w14:textId="7B49B939" w:rsidR="00C62A45" w:rsidRPr="000E62B5" w:rsidRDefault="00C62A45" w:rsidP="00C62A45">
      <w:pPr>
        <w:widowControl w:val="0"/>
        <w:suppressAutoHyphens/>
        <w:ind w:left="567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Ростовской области</w:t>
      </w:r>
    </w:p>
    <w:p w14:paraId="3C9E34BF" w14:textId="77777777" w:rsidR="00C62A45" w:rsidRPr="000E62B5" w:rsidRDefault="00C62A45" w:rsidP="00C62A45">
      <w:pPr>
        <w:pStyle w:val="ae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01.07.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5-2</w:t>
      </w:r>
    </w:p>
    <w:p w14:paraId="119F7E4F" w14:textId="77777777" w:rsidR="00A264C7" w:rsidRDefault="007C59BF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7C59BF">
        <w:rPr>
          <w:rFonts w:eastAsia="Arial Unicode MS"/>
          <w:bCs/>
          <w:sz w:val="24"/>
          <w:szCs w:val="24"/>
        </w:rPr>
        <w:t xml:space="preserve"> </w:t>
      </w:r>
    </w:p>
    <w:p w14:paraId="2EBD4AB5" w14:textId="150C7120" w:rsidR="000F0751" w:rsidRDefault="00C62A45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                                            </w:t>
      </w:r>
      <w:r w:rsidR="000F0751">
        <w:rPr>
          <w:rFonts w:eastAsia="Arial Unicode MS"/>
          <w:bCs/>
          <w:sz w:val="24"/>
          <w:szCs w:val="24"/>
        </w:rPr>
        <w:t>(обязательная форма)</w:t>
      </w:r>
    </w:p>
    <w:p w14:paraId="2EE7C976" w14:textId="77777777"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14:paraId="0D288731" w14:textId="77777777"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14:paraId="66D715AD" w14:textId="77777777"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14:paraId="6467747F" w14:textId="77777777"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14:paraId="6FED267E" w14:textId="77777777"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14:paraId="77EAA15D" w14:textId="77777777"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14:paraId="7F3D54B5" w14:textId="1BB7485D"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14:paraId="6EE7A18E" w14:textId="77777777"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14:paraId="0B986018" w14:textId="77777777" w:rsidTr="00FF155E">
        <w:trPr>
          <w:jc w:val="center"/>
        </w:trPr>
        <w:tc>
          <w:tcPr>
            <w:tcW w:w="541" w:type="dxa"/>
            <w:vAlign w:val="center"/>
          </w:tcPr>
          <w:p w14:paraId="472DC3E4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14:paraId="41C0CCAF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14:paraId="1C791AA9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14:paraId="6D008B00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14:paraId="48E17563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14:paraId="0C613082" w14:textId="77777777"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14:paraId="078EA107" w14:textId="77777777"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14:paraId="05C44D0F" w14:textId="77777777"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14:paraId="56CCDED0" w14:textId="77777777"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14:paraId="0C8CAB68" w14:textId="77777777"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14:paraId="727CAD48" w14:textId="77777777" w:rsidTr="00FF155E">
        <w:trPr>
          <w:jc w:val="center"/>
        </w:trPr>
        <w:tc>
          <w:tcPr>
            <w:tcW w:w="541" w:type="dxa"/>
            <w:vAlign w:val="center"/>
          </w:tcPr>
          <w:p w14:paraId="6FAB2BBE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14BA0C9D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4082AECA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078475C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156754E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7CDF05ED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12F35813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1C8697DD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14:paraId="4B45BC24" w14:textId="77777777" w:rsidTr="00FF155E">
        <w:trPr>
          <w:jc w:val="center"/>
        </w:trPr>
        <w:tc>
          <w:tcPr>
            <w:tcW w:w="541" w:type="dxa"/>
            <w:vAlign w:val="center"/>
          </w:tcPr>
          <w:p w14:paraId="3410A59C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7DAE0E49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96704B4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02C1C5F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7493E14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2FDF6FBD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9CE83C6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72A1FBCC" w14:textId="77777777"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14:paraId="71019EFC" w14:textId="77777777" w:rsidTr="00FF155E">
        <w:trPr>
          <w:jc w:val="center"/>
        </w:trPr>
        <w:tc>
          <w:tcPr>
            <w:tcW w:w="541" w:type="dxa"/>
            <w:vAlign w:val="center"/>
          </w:tcPr>
          <w:p w14:paraId="4D4F94CF" w14:textId="77777777"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14:paraId="010C99FA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B7BB7F4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344CE4F5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4F85DBB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4730706D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855E6DB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0286308F" w14:textId="77777777"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663D1CDD" w14:textId="77777777"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14:paraId="2B293DB5" w14:textId="77777777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14:paraId="518929AB" w14:textId="77777777"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14:paraId="161067BB" w14:textId="77777777"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14:paraId="0E6825E9" w14:textId="77777777"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14:paraId="4C831F3B" w14:textId="77777777"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D51EE21" w14:textId="77777777"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14:paraId="1A056D75" w14:textId="77777777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14:paraId="68311ACC" w14:textId="77777777"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14:paraId="3EDE0057" w14:textId="77777777"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5BFE996" w14:textId="77777777"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14:paraId="0E71137C" w14:textId="77777777"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2305366B" w14:textId="77777777"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5D44D906" w14:textId="77777777" w:rsidR="00B6316F" w:rsidRDefault="00B6316F" w:rsidP="00974780">
      <w:pPr>
        <w:suppressAutoHyphens/>
        <w:jc w:val="both"/>
        <w:rPr>
          <w:sz w:val="28"/>
          <w:szCs w:val="28"/>
        </w:rPr>
      </w:pPr>
    </w:p>
    <w:p w14:paraId="3546ABDF" w14:textId="77777777"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14:paraId="733C6B0B" w14:textId="77777777"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(при наличии)</w:t>
      </w:r>
    </w:p>
    <w:p w14:paraId="6FE36773" w14:textId="77777777" w:rsidR="0062417C" w:rsidRDefault="0062417C"/>
    <w:p w14:paraId="02049AB2" w14:textId="77777777" w:rsidR="00FF155E" w:rsidRDefault="00FF155E"/>
    <w:p w14:paraId="05AF5225" w14:textId="77777777"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14:paraId="31EF00C1" w14:textId="77777777"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>ого</w:t>
      </w:r>
      <w:r w:rsidR="00B816E9" w:rsidRPr="00836D7C">
        <w:t xml:space="preserve"> (многомандатн</w:t>
      </w:r>
      <w:r w:rsidR="00B816E9">
        <w:t>ого</w:t>
      </w:r>
      <w:r w:rsidR="00B816E9" w:rsidRPr="00836D7C">
        <w:t>)</w:t>
      </w:r>
      <w:r w:rsidR="00B816E9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14:paraId="38FCB622" w14:textId="77777777"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14:paraId="51E412A0" w14:textId="77777777"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14:paraId="35AB653C" w14:textId="77777777"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14:paraId="0B5771DC" w14:textId="77777777"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.rtf, .doc, .docx)</w:t>
      </w:r>
      <w:r w:rsidR="00A01880">
        <w:t xml:space="preserve"> </w:t>
      </w:r>
      <w:r w:rsidRPr="00111AE8">
        <w:t>по данной форме.</w:t>
      </w:r>
    </w:p>
    <w:p w14:paraId="34B7CE34" w14:textId="77777777"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18AD" w14:textId="77777777" w:rsidR="006B6AFA" w:rsidRDefault="006B6AFA" w:rsidP="004712AF">
      <w:r>
        <w:separator/>
      </w:r>
    </w:p>
  </w:endnote>
  <w:endnote w:type="continuationSeparator" w:id="0">
    <w:p w14:paraId="3D30CA29" w14:textId="77777777" w:rsidR="006B6AFA" w:rsidRDefault="006B6AFA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BD81" w14:textId="77777777" w:rsidR="006B6AFA" w:rsidRDefault="006B6AFA" w:rsidP="004712AF">
      <w:r>
        <w:separator/>
      </w:r>
    </w:p>
  </w:footnote>
  <w:footnote w:type="continuationSeparator" w:id="0">
    <w:p w14:paraId="2C72390F" w14:textId="77777777" w:rsidR="006B6AFA" w:rsidRDefault="006B6AFA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95C2D4" w14:textId="77777777"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2A455F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14:paraId="78601E52" w14:textId="77777777"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 w16cid:durableId="1882744935">
    <w:abstractNumId w:val="1"/>
    <w:lvlOverride w:ilvl="0">
      <w:startOverride w:val="1"/>
    </w:lvlOverride>
  </w:num>
  <w:num w:numId="2" w16cid:durableId="949748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780"/>
    <w:rsid w:val="000151AA"/>
    <w:rsid w:val="00035FD8"/>
    <w:rsid w:val="000B7F71"/>
    <w:rsid w:val="000C7FC9"/>
    <w:rsid w:val="000F0751"/>
    <w:rsid w:val="001015A0"/>
    <w:rsid w:val="00111AE8"/>
    <w:rsid w:val="00180A25"/>
    <w:rsid w:val="001F746B"/>
    <w:rsid w:val="00293E3F"/>
    <w:rsid w:val="002A455F"/>
    <w:rsid w:val="002D2E96"/>
    <w:rsid w:val="003023CA"/>
    <w:rsid w:val="00325C52"/>
    <w:rsid w:val="003E4943"/>
    <w:rsid w:val="00435112"/>
    <w:rsid w:val="004712AF"/>
    <w:rsid w:val="005B1D07"/>
    <w:rsid w:val="005D6D87"/>
    <w:rsid w:val="006120A1"/>
    <w:rsid w:val="0062417C"/>
    <w:rsid w:val="006B6AFA"/>
    <w:rsid w:val="007433E0"/>
    <w:rsid w:val="007B411F"/>
    <w:rsid w:val="007C59BF"/>
    <w:rsid w:val="007F7785"/>
    <w:rsid w:val="00836D7C"/>
    <w:rsid w:val="00857A1A"/>
    <w:rsid w:val="00881587"/>
    <w:rsid w:val="008D1B5F"/>
    <w:rsid w:val="00946505"/>
    <w:rsid w:val="009632C3"/>
    <w:rsid w:val="00974780"/>
    <w:rsid w:val="00994603"/>
    <w:rsid w:val="009C75CD"/>
    <w:rsid w:val="00A01880"/>
    <w:rsid w:val="00A264C7"/>
    <w:rsid w:val="00B6316F"/>
    <w:rsid w:val="00B816E9"/>
    <w:rsid w:val="00B974BF"/>
    <w:rsid w:val="00C62A45"/>
    <w:rsid w:val="00DA4931"/>
    <w:rsid w:val="00E36DC1"/>
    <w:rsid w:val="00F02F11"/>
    <w:rsid w:val="00FE0397"/>
    <w:rsid w:val="00FE1FBE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8A51"/>
  <w15:docId w15:val="{D55331BA-143D-4EE6-8084-CFD0B196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Ольга ТИК</cp:lastModifiedBy>
  <cp:revision>17</cp:revision>
  <cp:lastPrinted>2025-06-09T12:41:00Z</cp:lastPrinted>
  <dcterms:created xsi:type="dcterms:W3CDTF">2019-06-03T14:48:00Z</dcterms:created>
  <dcterms:modified xsi:type="dcterms:W3CDTF">2026-06-30T11:27:00Z</dcterms:modified>
</cp:coreProperties>
</file>